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val="en-US" w:eastAsia="zh-CN"/>
        </w:rPr>
        <w:t>海域使用权</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val="en-US" w:eastAsia="zh-CN"/>
              </w:rPr>
              <w:t>海域使用权</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rFonts w:hint="eastAsia" w:eastAsia="宋体"/>
                <w:sz w:val="21"/>
                <w:szCs w:val="21"/>
                <w:lang w:val="en-US" w:eastAsia="zh-CN"/>
              </w:rPr>
            </w:pPr>
            <w:r>
              <w:rPr>
                <w:rFonts w:hint="eastAsia"/>
                <w:sz w:val="21"/>
                <w:szCs w:val="21"/>
              </w:rPr>
              <w:t>经营地址：海南省陵水县分界洲岛</w:t>
            </w:r>
            <w:r>
              <w:rPr>
                <w:rFonts w:hint="eastAsia"/>
                <w:sz w:val="21"/>
                <w:szCs w:val="21"/>
                <w:lang w:val="en-US" w:eastAsia="zh-CN"/>
              </w:rPr>
              <w:t>水上运动娱乐区内海域</w:t>
            </w:r>
          </w:p>
          <w:p>
            <w:pPr>
              <w:pStyle w:val="8"/>
              <w:keepNext w:val="0"/>
              <w:keepLines w:val="0"/>
              <w:pageBreakBefore w:val="0"/>
              <w:kinsoku/>
              <w:wordWrap/>
              <w:overflowPunct/>
              <w:autoSpaceDE/>
              <w:autoSpaceDN/>
              <w:bidi w:val="0"/>
              <w:snapToGrid/>
              <w:spacing w:line="360" w:lineRule="exact"/>
              <w:ind w:firstLine="0" w:firstLineChars="0"/>
              <w:textAlignment w:val="center"/>
              <w:outlineLvl w:val="9"/>
              <w:rPr>
                <w:rFonts w:hint="eastAsia" w:eastAsia="宋体"/>
                <w:sz w:val="21"/>
                <w:szCs w:val="21"/>
                <w:lang w:eastAsia="zh-CN"/>
              </w:rPr>
            </w:pPr>
            <w:r>
              <w:rPr>
                <w:rFonts w:hint="eastAsia"/>
                <w:sz w:val="21"/>
                <w:szCs w:val="21"/>
              </w:rPr>
              <w:t>项目介绍：</w:t>
            </w:r>
            <w:r>
              <w:rPr>
                <w:rFonts w:hint="eastAsia"/>
                <w:color w:val="auto"/>
                <w:sz w:val="21"/>
                <w:szCs w:val="21"/>
                <w:lang w:eastAsia="zh-CN"/>
              </w:rPr>
              <w:t>租赁海域用于经营水上城堡、水上勇士、帆船</w:t>
            </w:r>
            <w:r>
              <w:rPr>
                <w:rFonts w:hint="eastAsia"/>
                <w:color w:val="auto"/>
                <w:sz w:val="21"/>
                <w:szCs w:val="21"/>
                <w:lang w:val="en-US" w:eastAsia="zh-CN"/>
              </w:rPr>
              <w:t>等娱乐项目</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 25,000.00】元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val="en-US" w:eastAsia="zh-CN"/>
        </w:rPr>
        <w:t>海域使用权</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海域使用权</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w:t>
      </w:r>
      <w:r>
        <w:rPr>
          <w:rFonts w:hint="eastAsia"/>
          <w:sz w:val="28"/>
          <w:szCs w:val="28"/>
          <w:lang w:eastAsia="zh-CN"/>
        </w:rPr>
        <w:t>租赁海域用于经营水上城堡、水上勇士、帆船</w:t>
      </w:r>
      <w:r>
        <w:rPr>
          <w:rFonts w:hint="eastAsia"/>
          <w:sz w:val="28"/>
          <w:szCs w:val="28"/>
          <w:lang w:val="en-US" w:eastAsia="zh-CN"/>
        </w:rPr>
        <w:t>等娱乐项目</w:t>
      </w:r>
      <w:r>
        <w:rPr>
          <w:rFonts w:hint="eastAsia"/>
          <w:sz w:val="28"/>
          <w:szCs w:val="28"/>
        </w:rPr>
        <w:t>】</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海域使用权</w:t>
      </w:r>
      <w:r>
        <w:rPr>
          <w:rFonts w:hint="eastAsia"/>
          <w:sz w:val="28"/>
          <w:szCs w:val="28"/>
        </w:rPr>
        <w:t>租赁合同》承租</w:t>
      </w:r>
      <w:r>
        <w:rPr>
          <w:rFonts w:hint="eastAsia"/>
          <w:sz w:val="28"/>
          <w:szCs w:val="28"/>
          <w:lang w:val="en-US" w:eastAsia="zh-CN"/>
        </w:rPr>
        <w:t>中标海域</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海域</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1、上述报价为水上城堡</w:t>
      </w:r>
      <w:r>
        <w:rPr>
          <w:rFonts w:hint="eastAsia" w:ascii="宋体" w:hAnsi="宋体"/>
          <w:b/>
          <w:sz w:val="28"/>
          <w:szCs w:val="28"/>
          <w:lang w:val="en-US" w:eastAsia="zh-CN"/>
        </w:rPr>
        <w:t>等娱乐项目海域使用权</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val="en-US" w:eastAsia="zh-CN"/>
        </w:rPr>
        <w:t>海域使用权</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/海域使用权</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firstLine="562" w:firstLineChars="2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b/>
          <w:color w:val="auto"/>
          <w:sz w:val="28"/>
          <w:szCs w:val="28"/>
        </w:rPr>
        <w:t>鉴于，</w:t>
      </w:r>
      <w:r>
        <w:rPr>
          <w:rFonts w:hint="default" w:ascii="Times New Roman" w:hAnsi="Times New Roman" w:eastAsia="宋体" w:cs="Times New Roman"/>
          <w:color w:val="auto"/>
          <w:sz w:val="28"/>
          <w:szCs w:val="28"/>
        </w:rPr>
        <w:t>甲方拥有海南省陵水县分界洲岛的部分海域使用权，为了进一步增加分界洲岛景区的娱乐性，甲方拟将部分海域使用权出租给乙方经营</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项目。甲、乙双方按照《中华人民共和国</w:t>
      </w:r>
      <w:r>
        <w:rPr>
          <w:rFonts w:hint="default" w:ascii="Times New Roman" w:hAnsi="Times New Roman" w:cs="Times New Roman"/>
          <w:color w:val="auto"/>
          <w:sz w:val="28"/>
          <w:szCs w:val="28"/>
          <w:lang w:eastAsia="zh-CN"/>
        </w:rPr>
        <w:t>民法典</w:t>
      </w:r>
      <w:r>
        <w:rPr>
          <w:rFonts w:hint="default" w:ascii="Times New Roman" w:hAnsi="Times New Roman" w:eastAsia="宋体" w:cs="Times New Roman"/>
          <w:color w:val="auto"/>
          <w:sz w:val="28"/>
          <w:szCs w:val="28"/>
        </w:rPr>
        <w:t>》等相关法律法规，经协商一致订立合同如下，以</w:t>
      </w:r>
      <w:r>
        <w:rPr>
          <w:rFonts w:hint="default" w:ascii="Times New Roman" w:hAnsi="Times New Roman" w:eastAsia="宋体" w:cs="Times New Roman"/>
          <w:color w:val="auto"/>
          <w:sz w:val="28"/>
          <w:szCs w:val="28"/>
          <w:lang w:eastAsia="zh-CN"/>
        </w:rPr>
        <w:t>资</w:t>
      </w:r>
      <w:r>
        <w:rPr>
          <w:rFonts w:hint="default" w:ascii="Times New Roman" w:hAnsi="Times New Roman" w:eastAsia="宋体" w:cs="Times New Roman"/>
          <w:color w:val="auto"/>
          <w:sz w:val="28"/>
          <w:szCs w:val="28"/>
        </w:rPr>
        <w:t>信守。</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 xml:space="preserve">出租海域使用权情况 </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甲方出租给乙方的海域使用权位于</w:t>
      </w:r>
      <w:r>
        <w:rPr>
          <w:rFonts w:hint="default" w:ascii="Times New Roman" w:hAnsi="Times New Roman" w:eastAsia="宋体" w:cs="Times New Roman"/>
          <w:color w:val="auto"/>
          <w:kern w:val="2"/>
          <w:sz w:val="28"/>
          <w:szCs w:val="28"/>
          <w:u w:val="none"/>
          <w:lang w:val="en-US" w:eastAsia="zh-CN" w:bidi="ar-SA"/>
        </w:rPr>
        <w:t>陵水县分界洲岛</w:t>
      </w:r>
      <w:r>
        <w:rPr>
          <w:rFonts w:hint="eastAsia"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lang w:val="en-US" w:eastAsia="zh-CN" w:bidi="ar-SA"/>
        </w:rPr>
        <w:t>，</w:t>
      </w:r>
      <w:r>
        <w:rPr>
          <w:rFonts w:hint="eastAsia" w:cs="Times New Roman"/>
          <w:color w:val="auto"/>
          <w:kern w:val="2"/>
          <w:sz w:val="28"/>
          <w:szCs w:val="28"/>
          <w:lang w:val="en-US" w:eastAsia="zh-CN" w:bidi="ar-SA"/>
        </w:rPr>
        <w:t>所属海域</w:t>
      </w:r>
      <w:r>
        <w:rPr>
          <w:rFonts w:hint="default" w:ascii="Times New Roman" w:hAnsi="Times New Roman" w:cs="Times New Roman"/>
          <w:color w:val="auto"/>
          <w:kern w:val="2"/>
          <w:sz w:val="28"/>
          <w:szCs w:val="28"/>
          <w:lang w:val="en-US" w:eastAsia="zh-CN" w:bidi="ar-SA"/>
        </w:rPr>
        <w:t>不动产权登记号</w:t>
      </w:r>
      <w:r>
        <w:rPr>
          <w:rFonts w:hint="default" w:ascii="Times New Roman" w:hAnsi="Times New Roman" w:eastAsia="宋体" w:cs="Times New Roman"/>
          <w:color w:val="auto"/>
          <w:kern w:val="2"/>
          <w:sz w:val="28"/>
          <w:szCs w:val="28"/>
          <w:u w:val="none"/>
          <w:lang w:val="en-US" w:eastAsia="zh-CN" w:bidi="ar-SA"/>
        </w:rPr>
        <w:t>为</w:t>
      </w:r>
      <w:r>
        <w:rPr>
          <w:rFonts w:hint="eastAsia" w:cs="Times New Roman"/>
          <w:color w:val="auto"/>
          <w:kern w:val="2"/>
          <w:sz w:val="28"/>
          <w:szCs w:val="28"/>
          <w:u w:val="none"/>
          <w:lang w:val="en-US" w:eastAsia="zh-CN" w:bidi="ar-SA"/>
        </w:rPr>
        <w:t>“【】”，</w:t>
      </w:r>
      <w:r>
        <w:rPr>
          <w:rFonts w:hint="default" w:ascii="Times New Roman" w:hAnsi="Times New Roman" w:cs="Times New Roman"/>
          <w:color w:val="auto"/>
          <w:kern w:val="2"/>
          <w:sz w:val="28"/>
          <w:szCs w:val="28"/>
          <w:u w:val="none"/>
          <w:lang w:val="en-US" w:eastAsia="zh-CN" w:bidi="ar-SA"/>
        </w:rPr>
        <w:t>海域用途</w:t>
      </w:r>
      <w:r>
        <w:rPr>
          <w:rFonts w:hint="default" w:ascii="Times New Roman" w:hAnsi="Times New Roman" w:eastAsia="宋体" w:cs="Times New Roman"/>
          <w:color w:val="auto"/>
          <w:kern w:val="2"/>
          <w:sz w:val="28"/>
          <w:szCs w:val="28"/>
          <w:u w:val="none"/>
          <w:lang w:val="en-US" w:eastAsia="zh-CN" w:bidi="ar-SA"/>
        </w:rPr>
        <w:t>为</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，宗海面积</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公顷（以下简称“标的海域”）。该海域的位置图见本协议附件一、界址图见本协议附件二。</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甲方拥有标的海域的使用权，与乙方建立租赁关系，签订本协议时，标的海域</w:t>
      </w:r>
      <w:r>
        <w:rPr>
          <w:rFonts w:hint="default" w:ascii="Times New Roman" w:hAnsi="Times New Roman" w:eastAsia="宋体" w:cs="Times New Roman"/>
          <w:color w:val="auto"/>
          <w:kern w:val="2"/>
          <w:sz w:val="28"/>
          <w:szCs w:val="28"/>
          <w:u w:val="none"/>
          <w:lang w:val="en-US" w:eastAsia="zh-CN" w:bidi="ar-SA"/>
        </w:rPr>
        <w:t>未</w:t>
      </w:r>
      <w:r>
        <w:rPr>
          <w:rFonts w:hint="default" w:ascii="Times New Roman" w:hAnsi="Times New Roman" w:eastAsia="宋体" w:cs="Times New Roman"/>
          <w:color w:val="auto"/>
          <w:kern w:val="2"/>
          <w:sz w:val="28"/>
          <w:szCs w:val="28"/>
          <w:lang w:val="en-US" w:eastAsia="zh-CN" w:bidi="ar-SA"/>
        </w:rPr>
        <w:t>设立抵押。</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乙方同意甲方仍可以使用标的海域，该等使用包括船只通行、正常作业及租赁给其他第三方，但不得影响乙方在标的海域的正常经营活动。</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租赁用途</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乙方向甲方承诺，租赁标的海域仅用于经营</w:t>
      </w:r>
      <w:r>
        <w:rPr>
          <w:rFonts w:hint="eastAsia" w:ascii="Times New Roman" w:hAnsi="Times New Roman"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项目，在未征得甲方书面同意前，不得擅自改变上述约定的使用用途。依国家相关法律法规需要就租赁标的海域向有关权利机关进行备案的，乙方须配合甲方，并积极提供所需的相应材料。</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w:t>
      </w:r>
      <w:r>
        <w:rPr>
          <w:rFonts w:hint="eastAsia" w:ascii="Times New Roman" w:hAnsi="Times New Roman" w:cs="Times New Roman"/>
          <w:color w:val="auto"/>
          <w:kern w:val="2"/>
          <w:sz w:val="28"/>
          <w:szCs w:val="28"/>
          <w:lang w:val="en-US" w:eastAsia="zh-CN" w:bidi="ar-SA"/>
        </w:rPr>
        <w:t>上述</w:t>
      </w:r>
      <w:r>
        <w:rPr>
          <w:rFonts w:hint="default" w:ascii="Times New Roman" w:hAnsi="Times New Roman" w:eastAsia="宋体" w:cs="Times New Roman"/>
          <w:color w:val="auto"/>
          <w:kern w:val="2"/>
          <w:sz w:val="28"/>
          <w:szCs w:val="28"/>
          <w:lang w:val="en-US" w:eastAsia="zh-CN" w:bidi="ar-SA"/>
        </w:rPr>
        <w:t>项目应根据相关规定向政府相关职能部门进行备案。</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乙方应遵守甲方制定的有关于分界洲岛景区的管理规定，不得将该标的海域用于上述2.1条约定以外的其他用途，不得在标的海域内从事中国法律法规禁止的业务。</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因乙方从事本合同第2.1条项下的经营项目，产生纠纷或处罚导致的经济损失，由乙方自行承担。</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租赁期限</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甲、乙双方约定，标的海域的租赁期限为两年，自202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年1月1日至202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年12月31日止。</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租赁期满，在同等条件下，乙方具有对标的海域的优先续租权。</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租金和支付方式</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年的租金为人民币</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元/月，202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年在此基础上上涨5%。</w:t>
      </w:r>
      <w:r>
        <w:rPr>
          <w:rFonts w:hint="eastAsia"/>
          <w:sz w:val="28"/>
          <w:szCs w:val="28"/>
          <w:highlight w:val="none"/>
        </w:rPr>
        <w:t>甲方负责统计租赁期内分界洲岛景区的游客人数（以下简称“上岛人数”），当实际上岛人数与预期上岛人数（</w:t>
      </w:r>
      <w:r>
        <w:rPr>
          <w:rFonts w:hint="eastAsia"/>
          <w:sz w:val="28"/>
          <w:szCs w:val="28"/>
          <w:highlight w:val="none"/>
          <w:lang w:val="en-US" w:eastAsia="zh-CN"/>
        </w:rPr>
        <w:t>160万人次/年，含住宿客人</w:t>
      </w:r>
      <w:r>
        <w:rPr>
          <w:rFonts w:hint="eastAsia"/>
          <w:sz w:val="28"/>
          <w:szCs w:val="28"/>
          <w:highlight w:val="none"/>
        </w:rPr>
        <w:t>）存在差异达8%时，双方可启动调整机制，按实际上岛人数占预计上岛人数的比例，相应调整（增加或减少）承包租金，并于次年1月份一次性结算。</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租金采取按季度支付的方式，乙方应在本合同签订后三日内，向甲方一次性支付一季度的租金计</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元，此后，乙方每一季度末的3日前，向甲方支付下个季度的租金。</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本合同项下乙方对甲方的所有付款，应以人民币汇款至甲方书面指定之账号。乙方付款所发生的任何银行手续费应由乙方承担。甲方指定收取租金的账户信息如下：</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开户名称：海南分界洲旅游股份有限公司</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开户银行：陵水县农村信用社营业部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开户账号：1009049557888888</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保证金及其他费用</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甲、乙双方约定，乙方应于标的海域交付之日前向甲方支付标的海域的保证金，保证金为人民币</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元，将用于以下用途：</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（一）游客在因乙方从事本合同第2.1条的经营项目造成人身或精神损害需要先行进行赔付，乙方拒绝或拖延赔付的；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（二）因乙方从事本合同第2.1条的经营项目导致被相关行政主管机关处罚的，乙方在缴款期限内拒不缴纳的；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（三）因乙方从事本合同第2.1条的经营项目导致甲方被相关行政主管机关处罚的；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（四）由于乙方违约导致甲方单方面解除本合同的。</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如乙方违反本协议之约定，则甲方有权（但无义务）以保证金抵付乙方应付款项，和/或作为甲方因此而遭受之损失，和/或根据本挟制规定全部扣收保证金而无须归还给乙方。如甲方持有的保证金由于作该等抵付和/或赔偿和/或扣收而少于上述5.1条规定之金额，乙方应根据甲方的通知，立即向甲方补交该等差额。但乙方无权以保证金抵付其在本协议项下的任何应付款项。</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乙方经营项目所需的全部费用，包括但不限于其为经营项目所需的水费、电费、油费、通讯费、设备供应费用及所聘请的人员工资福利、社会保险、工伤事故以及因该等员工工作所需的服装、食宿、往来交通的费用，均由乙方自行承担。</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项目所需设施、设备均由乙方自行解决，费用由乙方自担；与他方就经营项目所涉设施、设备产生的一切纠纷与甲方无关；乙方应保证其经营项目使用的设施合格、设备完善、工作人员具备相应专业资质，保证游客安全，对此甲方可以随时抽查并提出相关意见。因乙方不规范经营造成甲方的一切损失，乙方应向甲方赔偿。</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租赁关系终止时，乙方应最迟于租赁期满日或本合同提前终止之日17：00时之前向甲方交还租赁</w:t>
      </w:r>
      <w:r>
        <w:rPr>
          <w:rFonts w:hint="eastAsia" w:ascii="Times New Roman" w:hAnsi="Times New Roman" w:cs="Times New Roman"/>
          <w:color w:val="auto"/>
          <w:kern w:val="2"/>
          <w:sz w:val="28"/>
          <w:szCs w:val="28"/>
          <w:lang w:val="en-US" w:eastAsia="zh-CN" w:bidi="ar-SA"/>
        </w:rPr>
        <w:t>海域</w:t>
      </w:r>
      <w:bookmarkStart w:id="11" w:name="_GoBack"/>
      <w:bookmarkEnd w:id="11"/>
      <w:r>
        <w:rPr>
          <w:rFonts w:hint="default" w:ascii="Times New Roman" w:hAnsi="Times New Roman" w:eastAsia="宋体" w:cs="Times New Roman"/>
          <w:color w:val="auto"/>
          <w:kern w:val="2"/>
          <w:sz w:val="28"/>
          <w:szCs w:val="28"/>
          <w:lang w:val="en-US" w:eastAsia="zh-CN" w:bidi="ar-SA"/>
        </w:rPr>
        <w:t>；在乙方将租赁</w:t>
      </w:r>
      <w:r>
        <w:rPr>
          <w:rFonts w:hint="eastAsia"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恢复至可租赁状态的前提下，甲方应在乙方交还标的海域后二十个工作日内将保证金（在按照本合同约定做出扣</w:t>
      </w:r>
      <w:r>
        <w:rPr>
          <w:rFonts w:hint="default" w:ascii="Times New Roman" w:hAnsi="Times New Roman" w:eastAsia="宋体" w:cs="Times New Roman"/>
          <w:b w:val="0"/>
          <w:bCs w:val="0"/>
          <w:color w:val="auto"/>
          <w:kern w:val="2"/>
          <w:sz w:val="28"/>
          <w:szCs w:val="28"/>
          <w:lang w:val="en-US" w:eastAsia="zh-CN" w:bidi="ar-SA"/>
        </w:rPr>
        <w:t>除[如有]后）一次性无息退还乙方。属于乙方的资产，乙方应当在甲方指定期限内全部转移，超出指定期限未转移的，视为乙方抛弃的物品，甲方有权自行处置，因乙方抛弃的物品造成甲方或甲方员工、游客等损害的，乙方应承担赔偿责任</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六</w:t>
      </w:r>
      <w:r>
        <w:rPr>
          <w:rFonts w:hint="default" w:ascii="Times New Roman" w:hAnsi="Times New Roman" w:eastAsia="宋体" w:cs="Times New Roman"/>
          <w:b/>
          <w:color w:val="auto"/>
          <w:sz w:val="28"/>
          <w:szCs w:val="28"/>
        </w:rPr>
        <w:t>条</w:t>
      </w:r>
      <w:r>
        <w:rPr>
          <w:rFonts w:hint="default" w:ascii="Times New Roman" w:hAnsi="Times New Roman" w:eastAsia="宋体" w:cs="Times New Roman"/>
          <w:color w:val="auto"/>
          <w:sz w:val="28"/>
          <w:szCs w:val="28"/>
        </w:rPr>
        <w:t xml:space="preserve"> </w:t>
      </w:r>
      <w:r>
        <w:rPr>
          <w:rFonts w:hint="default" w:ascii="Times New Roman" w:hAnsi="Times New Roman" w:eastAsia="宋体" w:cs="Times New Roman"/>
          <w:b/>
          <w:color w:val="auto"/>
          <w:sz w:val="28"/>
          <w:szCs w:val="28"/>
        </w:rPr>
        <w:t>甲方的违约责任</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租赁期间，甲方擅自解除本合同，提前收回标的海域使用权的，即构成严重违约，甲方应返还乙方保证金，退还多收的预交款项(如有)。</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应确保分界洲岛旅游景区的正常运营，因甲方违法、违规经营导致分界洲岛旅游景区被责令停业十天以上的，甲方应免收停业期间乙方的租赁费用。因不可抗力因素致使项目不能正常营业的，甲方不予免收乙方停业期间的租赁费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七</w:t>
      </w:r>
      <w:r>
        <w:rPr>
          <w:rFonts w:hint="default" w:ascii="Times New Roman" w:hAnsi="Times New Roman" w:eastAsia="宋体" w:cs="Times New Roman"/>
          <w:b/>
          <w:color w:val="auto"/>
          <w:sz w:val="28"/>
          <w:szCs w:val="28"/>
        </w:rPr>
        <w:t>条 乙方的违约责任</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如因乙方从事本合同第2.1条的经营行为，导致游客投诉或造成游客人身损害、被相关行政机关处罚等不利于景区形象事项的，经甲方查实确为乙方责任或乙方主要责任的，甲方可根据该等行为对分界洲岛景区整体形象的影响程度，要求乙方向甲方承担标的海域总租金的10%-100%作为赔偿，乙方应自收到甲方书面通知后的七日内向甲方支付足额的赔偿金。</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租赁期内，乙方逾期支付租金的，甲方有权要求乙方每逾期一天按照总租金的万分之五支付违约金，直至应缴费用及违约金全部付清。</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标的海域交付后，因经营环境变化等原因，乙方有意解除海域租赁关系的，应提前一个月向甲方书面提出，甲方逾期未提出异议则视为同意，乙方不承担违约责任。反之，乙方擅自中途退租的，即构成严重违约。在此情况下，甲方有权没收乙方已支付的保证金和其它预交款项（如有）作为违约金，有权解除本合同，并要求乙方就其违约行为给甲方造成的经济损失进行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在租赁期内，乙方有下列行为之一的，甲方有权单方面终止本合同，收回标的海域，由此而造成甲方的经济损失的，乙方应予以赔偿：</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（一）未经甲方书面同意，擅自将</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转租、转让、转借他人或调换使用；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（二）擅自改变本合同规定的租赁用途，或利用</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进行违法违章活动的。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（三）拖欠支付租金累计达30日的，或拖欠支付上述</w:t>
      </w:r>
      <w:r>
        <w:rPr>
          <w:rFonts w:hint="default" w:ascii="Times New Roman" w:hAnsi="Times New Roman" w:eastAsia="宋体" w:cs="Times New Roman"/>
          <w:color w:val="auto"/>
          <w:sz w:val="28"/>
          <w:szCs w:val="28"/>
          <w:lang w:val="en-US" w:eastAsia="zh-CN"/>
        </w:rPr>
        <w:t>7.1、7.2</w:t>
      </w:r>
      <w:r>
        <w:rPr>
          <w:rFonts w:hint="default" w:ascii="Times New Roman" w:hAnsi="Times New Roman" w:eastAsia="宋体" w:cs="Times New Roman"/>
          <w:color w:val="auto"/>
          <w:sz w:val="28"/>
          <w:szCs w:val="28"/>
        </w:rPr>
        <w:t>条规定之各项费用</w:t>
      </w:r>
      <w:r>
        <w:rPr>
          <w:rFonts w:hint="default" w:ascii="Times New Roman" w:hAnsi="Times New Roman" w:eastAsia="宋体" w:cs="Times New Roman"/>
          <w:color w:val="auto"/>
          <w:sz w:val="28"/>
          <w:szCs w:val="28"/>
          <w:lang w:eastAsia="zh-CN"/>
        </w:rPr>
        <w:t>满</w:t>
      </w:r>
      <w:r>
        <w:rPr>
          <w:rFonts w:hint="default" w:ascii="Times New Roman" w:hAnsi="Times New Roman" w:eastAsia="宋体" w:cs="Times New Roman"/>
          <w:color w:val="auto"/>
          <w:sz w:val="28"/>
          <w:szCs w:val="28"/>
        </w:rPr>
        <w:t>30日仍未支付的；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（四）乙方破产或进行清算程序</w:t>
      </w:r>
      <w:r>
        <w:rPr>
          <w:rFonts w:hint="default"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因重组或合并原因进行清算除外，但须提供甲方认可之证明；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（五）法律、法规或本合同其他条款允许甲方单方提前终止合同的其他情况。</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甲方依据本合同7.4条单方终止合同的，应当书面通知乙方3日内迁离并返还标的海域，保证金作为违约金赔偿给甲方；若保证金不足以赔偿甲方经济损失的，乙方应负责赔偿。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甲方依照本合同规定向乙方发出解除合同通知，表明甲方行使本合同赋予其提前收回标的海域的权利，并构成甲方对该项权利全面及充分的行使，甲方无须以实际进入标的海域的行为作为行使该项权利的标志。</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甲方根据本合同，要求或收取违约金，并不损害及影响甲方行使任何本合同赋予的其他权利。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第</w:t>
      </w:r>
      <w:r>
        <w:rPr>
          <w:rFonts w:hint="default" w:ascii="Times New Roman" w:hAnsi="Times New Roman" w:eastAsia="宋体" w:cs="Times New Roman"/>
          <w:b/>
          <w:bCs/>
          <w:color w:val="auto"/>
          <w:sz w:val="28"/>
          <w:szCs w:val="28"/>
          <w:lang w:eastAsia="zh-CN"/>
        </w:rPr>
        <w:t>八</w:t>
      </w:r>
      <w:r>
        <w:rPr>
          <w:rFonts w:hint="default" w:ascii="Times New Roman" w:hAnsi="Times New Roman" w:eastAsia="宋体" w:cs="Times New Roman"/>
          <w:b/>
          <w:bCs/>
          <w:color w:val="auto"/>
          <w:sz w:val="28"/>
          <w:szCs w:val="28"/>
        </w:rPr>
        <w:t>条 法律适用与争议解决</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本合同的订立、效力、解释、履行及其争议的解决，均适用中</w:t>
      </w:r>
      <w:r>
        <w:rPr>
          <w:rFonts w:hint="default" w:ascii="Times New Roman" w:hAnsi="Times New Roman" w:eastAsia="宋体" w:cs="Times New Roman"/>
          <w:color w:val="auto"/>
          <w:kern w:val="2"/>
          <w:sz w:val="28"/>
          <w:szCs w:val="28"/>
          <w:lang w:val="en-US" w:eastAsia="zh-CN" w:bidi="ar-SA"/>
        </w:rPr>
        <w:t>华人民共和国法律。</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本合同所提到的任何当事人应包括该当事人的继承人和受让人。</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甲、乙双方就履行本合同发生争议，应通过协商解决；协商解决不成的，任何一方有权向甲方所在地人民法院提起诉讼。</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九</w:t>
      </w:r>
      <w:r>
        <w:rPr>
          <w:rFonts w:hint="default" w:ascii="Times New Roman" w:hAnsi="Times New Roman" w:eastAsia="宋体" w:cs="Times New Roman"/>
          <w:b/>
          <w:color w:val="auto"/>
          <w:sz w:val="28"/>
          <w:szCs w:val="28"/>
        </w:rPr>
        <w:t>条 合同效力及其他</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本合同未尽事宜，经甲、乙双方协商一致，可订立补充条款。本合同补充条款及附件均为本合同不可分割的一部分，并具有同等法律效力。</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本合同附件所列明的内容为合同双方就本合同有关条款内容所作之补充、修正、解释及说明，经本合同双方所确认即同意，亦为本合同的组成部分。</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本合同自双方法定代表人或授权代表签字并加盖各自的公章之日起生效。</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本合同一式</w:t>
      </w:r>
      <w:r>
        <w:rPr>
          <w:rFonts w:hint="eastAsia" w:cs="Times New Roman"/>
          <w:color w:val="auto"/>
          <w:kern w:val="2"/>
          <w:sz w:val="28"/>
          <w:szCs w:val="28"/>
          <w:lang w:val="en-US" w:eastAsia="zh-CN" w:bidi="ar-SA"/>
        </w:rPr>
        <w:t>叁</w:t>
      </w:r>
      <w:r>
        <w:rPr>
          <w:rFonts w:hint="default" w:ascii="Times New Roman" w:hAnsi="Times New Roman" w:eastAsia="宋体" w:cs="Times New Roman"/>
          <w:color w:val="auto"/>
          <w:kern w:val="2"/>
          <w:sz w:val="28"/>
          <w:szCs w:val="28"/>
          <w:lang w:val="en-US" w:eastAsia="zh-CN" w:bidi="ar-SA"/>
        </w:rPr>
        <w:t>份，双方各执壹份，公证人执</w:t>
      </w:r>
      <w:r>
        <w:rPr>
          <w:rFonts w:hint="eastAsia" w:cs="Times New Roman"/>
          <w:color w:val="auto"/>
          <w:kern w:val="2"/>
          <w:sz w:val="28"/>
          <w:szCs w:val="28"/>
          <w:lang w:val="en-US" w:eastAsia="zh-CN" w:bidi="ar-SA"/>
        </w:rPr>
        <w:t>壹</w:t>
      </w:r>
      <w:r>
        <w:rPr>
          <w:rFonts w:hint="default" w:ascii="Times New Roman" w:hAnsi="Times New Roman" w:eastAsia="宋体" w:cs="Times New Roman"/>
          <w:color w:val="auto"/>
          <w:kern w:val="2"/>
          <w:sz w:val="28"/>
          <w:szCs w:val="28"/>
          <w:lang w:val="en-US" w:eastAsia="zh-CN" w:bidi="ar-SA"/>
        </w:rPr>
        <w:t>份，具同等法律效力。</w:t>
      </w:r>
    </w:p>
    <w:p>
      <w:pPr>
        <w:numPr>
          <w:numId w:val="0"/>
        </w:numPr>
        <w:tabs>
          <w:tab w:val="left" w:pos="851"/>
        </w:tabs>
        <w:spacing w:before="96" w:beforeLines="40" w:line="420" w:lineRule="exact"/>
        <w:ind w:left="17" w:leftChars="0"/>
        <w:rPr>
          <w:sz w:val="28"/>
          <w:szCs w:val="28"/>
        </w:rPr>
        <w:sectPr>
          <w:footerReference r:id="rId19" w:type="first"/>
          <w:headerReference r:id="rId17" w:type="default"/>
          <w:footerReference r:id="rId18" w:type="default"/>
          <w:pgSz w:w="11906" w:h="16838"/>
          <w:pgMar w:top="1043" w:right="1236" w:bottom="1100" w:left="1519" w:header="851" w:footer="992" w:gutter="0"/>
          <w:pgNumType w:start="1"/>
          <w:cols w:space="0" w:num="1"/>
          <w:titlePg/>
          <w:docGrid w:linePitch="312" w:charSpace="0"/>
        </w:sectPr>
      </w:pPr>
    </w:p>
    <w:p>
      <w:pPr>
        <w:spacing w:after="120" w:afterLines="50" w:line="600" w:lineRule="exact"/>
        <w:jc w:val="both"/>
        <w:textAlignment w:val="center"/>
        <w:outlineLvl w:val="9"/>
        <w:rPr>
          <w:rFonts w:ascii="宋体" w:hAnsi="宋体"/>
          <w:b/>
          <w:sz w:val="36"/>
        </w:rPr>
      </w:pPr>
    </w:p>
    <w:sectPr>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2AFA7"/>
    <w:multiLevelType w:val="multilevel"/>
    <w:tmpl w:val="9D32AFA7"/>
    <w:lvl w:ilvl="0" w:tentative="0">
      <w:start w:val="1"/>
      <w:numFmt w:val="decimal"/>
      <w:suff w:val="space"/>
      <w:lvlText w:val="1.%1"/>
      <w:lvlJc w:val="left"/>
      <w:pPr>
        <w:tabs>
          <w:tab w:val="left" w:pos="0"/>
        </w:tabs>
        <w:ind w:left="624" w:leftChars="0" w:hanging="454" w:firstLineChars="0"/>
      </w:pPr>
      <w:rPr>
        <w:rFonts w:hint="default" w:ascii="Times New Roman" w:hAnsi="Times New Roman" w:cs="Times New Roman"/>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
    <w:nsid w:val="B5AC853B"/>
    <w:multiLevelType w:val="multilevel"/>
    <w:tmpl w:val="B5AC853B"/>
    <w:lvl w:ilvl="0" w:tentative="0">
      <w:start w:val="1"/>
      <w:numFmt w:val="chineseCounting"/>
      <w:suff w:val="space"/>
      <w:lvlText w:val="第%1条"/>
      <w:lvlJc w:val="left"/>
      <w:pPr>
        <w:tabs>
          <w:tab w:val="left" w:pos="0"/>
        </w:tabs>
        <w:ind w:left="0" w:firstLine="170"/>
      </w:pPr>
      <w:rPr>
        <w:rFonts w:hint="eastAsia" w:ascii="宋体" w:hAnsi="宋体" w:eastAsia="宋体" w:cs="宋体"/>
      </w:rPr>
    </w:lvl>
    <w:lvl w:ilvl="1" w:tentative="0">
      <w:start w:val="1"/>
      <w:numFmt w:val="decimal"/>
      <w:isLgl/>
      <w:suff w:val="space"/>
      <w:lvlText w:val="%2"/>
      <w:lvlJc w:val="left"/>
      <w:pPr>
        <w:tabs>
          <w:tab w:val="left" w:pos="420"/>
        </w:tabs>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D926189C"/>
    <w:multiLevelType w:val="multilevel"/>
    <w:tmpl w:val="D926189C"/>
    <w:lvl w:ilvl="0" w:tentative="0">
      <w:start w:val="1"/>
      <w:numFmt w:val="decimal"/>
      <w:suff w:val="space"/>
      <w:lvlText w:val="2.%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3">
    <w:nsid w:val="DF80AB8F"/>
    <w:multiLevelType w:val="multilevel"/>
    <w:tmpl w:val="DF80AB8F"/>
    <w:lvl w:ilvl="0" w:tentative="0">
      <w:start w:val="1"/>
      <w:numFmt w:val="decimal"/>
      <w:suff w:val="space"/>
      <w:lvlText w:val="4.%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4">
    <w:nsid w:val="E2F7A148"/>
    <w:multiLevelType w:val="multilevel"/>
    <w:tmpl w:val="E2F7A148"/>
    <w:lvl w:ilvl="0" w:tentative="0">
      <w:start w:val="1"/>
      <w:numFmt w:val="decimal"/>
      <w:suff w:val="space"/>
      <w:lvlText w:val="6.%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F5879604"/>
    <w:multiLevelType w:val="multilevel"/>
    <w:tmpl w:val="F5879604"/>
    <w:lvl w:ilvl="0" w:tentative="0">
      <w:start w:val="1"/>
      <w:numFmt w:val="decimal"/>
      <w:suff w:val="space"/>
      <w:lvlText w:val="8.%1"/>
      <w:lvlJc w:val="left"/>
      <w:pPr>
        <w:tabs>
          <w:tab w:val="left" w:pos="170"/>
        </w:tabs>
        <w:ind w:left="624" w:leftChars="0" w:hanging="454" w:firstLineChars="0"/>
      </w:pPr>
      <w:rPr>
        <w:rFonts w:hint="default" w:ascii="Times New Roman" w:hAnsi="Times New Roman" w:eastAsia="宋体" w:cs="Times New Roman"/>
        <w:sz w:val="24"/>
        <w:szCs w:val="32"/>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CB1D7C"/>
    <w:multiLevelType w:val="multilevel"/>
    <w:tmpl w:val="26CB1D7C"/>
    <w:lvl w:ilvl="0" w:tentative="0">
      <w:start w:val="1"/>
      <w:numFmt w:val="decimal"/>
      <w:suff w:val="space"/>
      <w:lvlText w:val="7.%1"/>
      <w:lvlJc w:val="left"/>
      <w:pPr>
        <w:tabs>
          <w:tab w:val="left" w:pos="170"/>
        </w:tabs>
        <w:ind w:left="624" w:leftChars="0" w:hanging="454" w:firstLineChars="0"/>
      </w:pPr>
      <w:rPr>
        <w:rFonts w:hint="default" w:ascii="Times New Roman" w:hAnsi="Times New Roman" w:eastAsia="宋体" w:cs="Times New Roman"/>
        <w:sz w:val="24"/>
        <w:szCs w:val="24"/>
      </w:rPr>
    </w:lvl>
    <w:lvl w:ilvl="1" w:tentative="0">
      <w:start w:val="1"/>
      <w:numFmt w:val="lowerLetter"/>
      <w:lvlText w:val="%2)"/>
      <w:lvlJc w:val="left"/>
      <w:pPr>
        <w:ind w:left="960" w:hanging="480"/>
      </w:pPr>
      <w:rPr>
        <w:rFonts w:hint="default" w:ascii="宋体" w:hAnsi="宋体" w:eastAsia="宋体" w:cs="宋体"/>
      </w:rPr>
    </w:lvl>
    <w:lvl w:ilvl="2" w:tentative="0">
      <w:start w:val="1"/>
      <w:numFmt w:val="lowerRoman"/>
      <w:lvlText w:val="%3."/>
      <w:lvlJc w:val="right"/>
      <w:pPr>
        <w:ind w:left="1440" w:hanging="480"/>
      </w:pPr>
      <w:rPr>
        <w:rFonts w:hint="default" w:ascii="宋体" w:hAnsi="宋体" w:eastAsia="宋体" w:cs="宋体"/>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9">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B1B1562"/>
    <w:multiLevelType w:val="multilevel"/>
    <w:tmpl w:val="4B1B1562"/>
    <w:lvl w:ilvl="0" w:tentative="0">
      <w:start w:val="1"/>
      <w:numFmt w:val="decimal"/>
      <w:suff w:val="space"/>
      <w:lvlText w:val="9.%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4650D5A"/>
    <w:multiLevelType w:val="multilevel"/>
    <w:tmpl w:val="54650D5A"/>
    <w:lvl w:ilvl="0" w:tentative="0">
      <w:start w:val="1"/>
      <w:numFmt w:val="decimal"/>
      <w:suff w:val="space"/>
      <w:lvlText w:val="3.%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4">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FAAC9DC"/>
    <w:multiLevelType w:val="multilevel"/>
    <w:tmpl w:val="7FAAC9DC"/>
    <w:lvl w:ilvl="0" w:tentative="0">
      <w:start w:val="1"/>
      <w:numFmt w:val="decimal"/>
      <w:suff w:val="space"/>
      <w:lvlText w:val="5.%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num w:numId="1">
    <w:abstractNumId w:val="6"/>
  </w:num>
  <w:num w:numId="2">
    <w:abstractNumId w:val="10"/>
  </w:num>
  <w:num w:numId="3">
    <w:abstractNumId w:val="15"/>
  </w:num>
  <w:num w:numId="4">
    <w:abstractNumId w:val="14"/>
  </w:num>
  <w:num w:numId="5">
    <w:abstractNumId w:val="9"/>
  </w:num>
  <w:num w:numId="6">
    <w:abstractNumId w:val="16"/>
  </w:num>
  <w:num w:numId="7">
    <w:abstractNumId w:val="12"/>
  </w:num>
  <w:num w:numId="8">
    <w:abstractNumId w:val="8"/>
  </w:num>
  <w:num w:numId="9">
    <w:abstractNumId w:val="1"/>
  </w:num>
  <w:num w:numId="10">
    <w:abstractNumId w:val="0"/>
  </w:num>
  <w:num w:numId="11">
    <w:abstractNumId w:val="2"/>
  </w:num>
  <w:num w:numId="12">
    <w:abstractNumId w:val="13"/>
  </w:num>
  <w:num w:numId="13">
    <w:abstractNumId w:val="3"/>
  </w:num>
  <w:num w:numId="14">
    <w:abstractNumId w:val="17"/>
  </w:num>
  <w:num w:numId="15">
    <w:abstractNumId w:val="4"/>
  </w:num>
  <w:num w:numId="16">
    <w:abstractNumId w:val="7"/>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41D61B5A"/>
    <w:rsid w:val="437F2ECA"/>
    <w:rsid w:val="465A220C"/>
    <w:rsid w:val="47FF310E"/>
    <w:rsid w:val="48253BC8"/>
    <w:rsid w:val="4AED4625"/>
    <w:rsid w:val="4BC8025F"/>
    <w:rsid w:val="4C1D2067"/>
    <w:rsid w:val="4D6F280D"/>
    <w:rsid w:val="4F3E4002"/>
    <w:rsid w:val="4FE27871"/>
    <w:rsid w:val="513611A2"/>
    <w:rsid w:val="55AF1F65"/>
    <w:rsid w:val="564249B9"/>
    <w:rsid w:val="5A21016A"/>
    <w:rsid w:val="5A8F24B5"/>
    <w:rsid w:val="5BD8736B"/>
    <w:rsid w:val="604604DC"/>
    <w:rsid w:val="63676231"/>
    <w:rsid w:val="6A025978"/>
    <w:rsid w:val="71150951"/>
    <w:rsid w:val="71D825E1"/>
    <w:rsid w:val="73234271"/>
    <w:rsid w:val="73414881"/>
    <w:rsid w:val="75492C42"/>
    <w:rsid w:val="75B34E2F"/>
    <w:rsid w:val="75D54317"/>
    <w:rsid w:val="7DDB4D85"/>
    <w:rsid w:val="7EB81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2</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2023-11-11T07:00:37Z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905FDD6CA0D944D2AC312F67C180A030_13</vt:lpwstr>
  </property>
</Properties>
</file>